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24" w:rsidRPr="00DC6F24" w:rsidRDefault="00DC6F24" w:rsidP="00DC6F24">
      <w:pPr>
        <w:shd w:val="clear" w:color="auto" w:fill="000000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</w:pPr>
      <w:proofErr w:type="spellStart"/>
      <w:r w:rsidRPr="00DC6F24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>Generálni</w:t>
      </w:r>
      <w:proofErr w:type="spellEnd"/>
      <w:r w:rsidRPr="00DC6F24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 xml:space="preserve"> licence pro </w:t>
      </w:r>
      <w:hyperlink r:id="rId5" w:history="1">
        <w:r w:rsidRPr="00DC6F24">
          <w:rPr>
            <w:rFonts w:ascii="Arial" w:eastAsia="Times New Roman" w:hAnsi="Arial" w:cs="Arial"/>
            <w:b/>
            <w:bCs/>
            <w:color w:val="FFFFFF"/>
            <w:sz w:val="27"/>
            <w:szCs w:val="27"/>
            <w:lang w:eastAsia="cs-CZ"/>
          </w:rPr>
          <w:t>Wi-Fi</w:t>
        </w:r>
      </w:hyperlink>
      <w:r w:rsidRPr="00DC6F24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 xml:space="preserve"> pásma</w:t>
      </w:r>
    </w:p>
    <w:p w:rsidR="00DC6F24" w:rsidRPr="00DC6F24" w:rsidRDefault="00DC6F24" w:rsidP="00DC6F24">
      <w:pPr>
        <w:spacing w:after="24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br/>
        <w:t>Praha 9. srpna 2005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br/>
        <w:t>Čj. 30256/2005-613</w:t>
      </w:r>
    </w:p>
    <w:p w:rsidR="00DC6F24" w:rsidRPr="00DC6F24" w:rsidRDefault="00DC6F24" w:rsidP="00DC6F24">
      <w:pPr>
        <w:shd w:val="clear" w:color="auto" w:fill="000000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</w:pPr>
      <w:r w:rsidRPr="00DC6F24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>Český telekomunikační úřad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Český telekomunikační úřad (dále jen "Úřad")jako příslušný orgán státní správy podle § 108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ods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. 1 písm. b) zákona č. 127/2005 Sb., o elektronických komunikacích a o změně některých souvisejících zákonů (zákon o elektronických </w:t>
      </w:r>
      <w:proofErr w:type="gram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komunikacích) (dále</w:t>
      </w:r>
      <w:proofErr w:type="gram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jen "zákon"), na základě výsledků veřejné konzultace uskutečněné podle § 130 zákona, rozhodnutí Rady Úřadu podle § 107 odst. 8 písm. b) bod 2 a k provedení § 9 zákona vydává opatřením obecné povahy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25" style="width:0;height:1.5pt" o:hralign="center" o:hrstd="t" o:hr="t" fillcolor="gray" stroked="f"/>
        </w:pic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všeobecné oprávnění č. VO-R/12/08.2005-34 </w:t>
      </w: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br/>
        <w:t xml:space="preserve">k využívání rádiových kmitočtů a k provozování zařízení pro širokopásmový </w:t>
      </w: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br/>
        <w:t xml:space="preserve">přenos dat na principu rozprostřeného spektra nebo OFDM v pásmech </w:t>
      </w: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br/>
        <w:t>2,4 GHz a 5 GHz.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26" style="width:0;height:1.5pt" o:hralign="center" o:hrstd="t" o:hr="t" fillcolor="gray" stroked="f"/>
        </w:pict>
      </w:r>
    </w:p>
    <w:p w:rsidR="00DC6F24" w:rsidRPr="00DC6F24" w:rsidRDefault="00DC6F24" w:rsidP="00DC6F24">
      <w:pPr>
        <w:shd w:val="clear" w:color="auto" w:fill="000000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</w:pPr>
      <w:r w:rsidRPr="00DC6F24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>Článek 1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Úvodní ustanovení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>Podmínky provozování přístrojů, vztahující se na využívání rádiových kmitočtů a provozování vysílacích rádiových zařízení pro širokopásmový přenos dat na principu rozprostřeného spektra nebo OFDM v pásmech 2,4 GHz a 5 GHz (dále jen "stanice") fyzickými nebo právnickými osobami stanoví zákon a toto všeobecné oprávnění podle § 10 odst. 1 zákona.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27" style="width:0;height:1.5pt" o:hralign="center" o:hrstd="t" o:hr="t" fillcolor="gray" stroked="f"/>
        </w:pict>
      </w:r>
    </w:p>
    <w:p w:rsidR="00DC6F24" w:rsidRPr="00DC6F24" w:rsidRDefault="00DC6F24" w:rsidP="00DC6F24">
      <w:pPr>
        <w:shd w:val="clear" w:color="auto" w:fill="000000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</w:pPr>
      <w:r w:rsidRPr="00DC6F24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>Článek 2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Konkrétní podmínky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>Konkrétní podmínky týkající se § 10 odst. 1 písm. n) zákona jsou:</w:t>
      </w: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a)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stanici lze provozovat bez individuálního oprávnění k využívání rádiových kmitočtů;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28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b)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technické parametry stanic jsou:</w:t>
      </w:r>
    </w:p>
    <w:p w:rsidR="00DC6F24" w:rsidRPr="00DC6F24" w:rsidRDefault="00DC6F24" w:rsidP="00DC6F24">
      <w:pPr>
        <w:spacing w:after="75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65"/>
        <w:gridCol w:w="1767"/>
        <w:gridCol w:w="1796"/>
        <w:gridCol w:w="5054"/>
      </w:tblGrid>
      <w:tr w:rsidR="00DC6F24" w:rsidRPr="00DC6F24" w:rsidTr="00DC6F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proofErr w:type="spellStart"/>
            <w:r w:rsidRPr="00DC6F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Ozn</w:t>
            </w:r>
            <w:proofErr w:type="spellEnd"/>
            <w:r w:rsidRPr="00DC6F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Kmitočtové pásmo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Vyzářený 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Další podmínky</w:t>
            </w:r>
          </w:p>
        </w:tc>
      </w:tr>
      <w:tr w:rsidR="00DC6F24" w:rsidRPr="00DC6F24" w:rsidTr="00DC6F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2400,0–2483,5 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100 </w:t>
            </w:r>
            <w:proofErr w:type="spellStart"/>
            <w:proofErr w:type="gram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mW</w:t>
            </w:r>
            <w:proofErr w:type="spell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e.i.</w:t>
            </w:r>
            <w:proofErr w:type="gram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r.p</w:t>
            </w:r>
            <w:proofErr w:type="spell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--- </w:t>
            </w:r>
          </w:p>
        </w:tc>
      </w:tr>
      <w:tr w:rsidR="00DC6F24" w:rsidRPr="00DC6F24" w:rsidTr="00DC6F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5150–5250 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200 </w:t>
            </w:r>
            <w:proofErr w:type="spell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mW</w:t>
            </w:r>
            <w:proofErr w:type="spell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gram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střední </w:t>
            </w:r>
            <w:proofErr w:type="spell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e.i.</w:t>
            </w:r>
            <w:proofErr w:type="gram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r.p</w:t>
            </w:r>
            <w:proofErr w:type="spell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pouze pro použití uvnitř budovy</w:t>
            </w:r>
          </w:p>
        </w:tc>
      </w:tr>
      <w:tr w:rsidR="00DC6F24" w:rsidRPr="00DC6F24" w:rsidTr="00DC6F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5250–5350 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200 </w:t>
            </w:r>
            <w:proofErr w:type="spell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mW</w:t>
            </w:r>
            <w:proofErr w:type="spell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gram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střední </w:t>
            </w:r>
            <w:proofErr w:type="spell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e.i.</w:t>
            </w:r>
            <w:proofErr w:type="gram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r.p</w:t>
            </w:r>
            <w:proofErr w:type="spell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pouze pro použití uvnitř budovy</w:t>
            </w:r>
          </w:p>
        </w:tc>
      </w:tr>
      <w:tr w:rsidR="00DC6F24" w:rsidRPr="00DC6F24" w:rsidTr="00DC6F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5470–5725 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1 W </w:t>
            </w:r>
            <w:proofErr w:type="gram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střední </w:t>
            </w:r>
            <w:proofErr w:type="spell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e.i.</w:t>
            </w:r>
            <w:proofErr w:type="gram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r.p</w:t>
            </w:r>
            <w:proofErr w:type="spell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24" w:rsidRPr="00DC6F24" w:rsidRDefault="00DC6F24" w:rsidP="00DC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maximální střední spektrální </w:t>
            </w:r>
            <w:proofErr w:type="gram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hustota </w:t>
            </w:r>
            <w:proofErr w:type="spell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e.i.</w:t>
            </w:r>
            <w:proofErr w:type="gram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r.p</w:t>
            </w:r>
            <w:proofErr w:type="spell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. je 50 </w:t>
            </w:r>
            <w:proofErr w:type="spellStart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mW</w:t>
            </w:r>
            <w:proofErr w:type="spellEnd"/>
            <w:r w:rsidRPr="00DC6F2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/MHz v libovolném 1 MHz úseku</w:t>
            </w:r>
          </w:p>
        </w:tc>
      </w:tr>
    </w:tbl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29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lastRenderedPageBreak/>
        <w:t>c)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u stanic v pásmu a u systémů s rozprostřeným spektrem, které využívají techniku</w:t>
      </w:r>
    </w:p>
    <w:p w:rsidR="00DC6F24" w:rsidRPr="00DC6F24" w:rsidRDefault="00DC6F24" w:rsidP="00DC6F24">
      <w:pPr>
        <w:spacing w:before="75" w:after="75" w:line="240" w:lineRule="auto"/>
        <w:ind w:left="2730"/>
        <w:outlineLvl w:val="4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1.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přímé sekvence nebo modulaci OFDM, nesmí spektrální </w:t>
      </w:r>
      <w:proofErr w:type="gram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hustota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e.i.</w:t>
      </w:r>
      <w:proofErr w:type="gram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r.p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překročit hodnotu –20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dBW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/1 MHz,</w:t>
      </w:r>
    </w:p>
    <w:p w:rsidR="00DC6F24" w:rsidRPr="00DC6F24" w:rsidRDefault="00DC6F24" w:rsidP="00DC6F24">
      <w:pPr>
        <w:spacing w:before="75" w:after="75" w:line="240" w:lineRule="auto"/>
        <w:ind w:left="2730"/>
        <w:outlineLvl w:val="4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2.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přeskoku kmitočtu, nesmí spektrální </w:t>
      </w:r>
      <w:proofErr w:type="gram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hustota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e.i.</w:t>
      </w:r>
      <w:proofErr w:type="gram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r.p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. překročit hodnotu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–10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dBW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/100 kHz; 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30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d)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u stanic v pásmech b až d je maximální střední spektrální </w:t>
      </w:r>
      <w:proofErr w:type="gram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hustota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e.i.</w:t>
      </w:r>
      <w:proofErr w:type="gram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r.p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. omezena takto: v pásmu b na 0,25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mW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/25 kHz v libovolném 25 kHz úseku; v pásmu c na 10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mW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/MHz v libovolném 1 MHz úseku; v pásmu d na 50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mW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/MHz v libovolném 1 MHz úseku;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31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e)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stanice musí dodržet maximální vyzářený </w:t>
      </w:r>
      <w:proofErr w:type="gram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výkon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e.i.</w:t>
      </w:r>
      <w:proofErr w:type="gram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r.p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. a maximální střední spektrální hustotu při libovolné kombinaci výstupního výkonu vysílače a použité antény;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32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f)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stanice nesmějí být provozovány s přídavnými zesilovači vysokofrekvenčního výkonu a s převaděči;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33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g)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stanice v pásmech c a d musí být vybaveny automatickou regulací výkonu, která průměrně poskytuje činitel potlačení rušení alespoň 3 dB oproti maximálnímu povolenému výstupnímu výkonu uvedených systémů. Není-li automatická regulace výkonu použita, snižuje se maximální povolený </w:t>
      </w:r>
      <w:proofErr w:type="gram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střední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e.i.</w:t>
      </w:r>
      <w:proofErr w:type="gram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r.p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. a odpovídající mez střední hustoty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e.i.r.p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. pro pásma c a d o 3 dB;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34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h)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stanice v pásmech c a d využívají technologie potlačení rušení (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mitigation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techniques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), které poskytují alespoň</w:t>
      </w:r>
      <w:bookmarkStart w:id="0" w:name="_GoBack"/>
      <w:bookmarkEnd w:id="0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takovou míru ochrany, jako požadavky na detekci, provoz a odezvu popsané v normě EN 301 893, aby byl zajištěn provoz slučitelný se systémy rádiového určování. Technologie potlačení rušení musí vyrovnávat pravděpodobnost výběru konkrétního kanálu ze všech dostupných kanálů, aby se v průměru zajistilo rovnoměrné rozprostření zátěže spektra;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35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j)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stanice jsou provozovány na sdílených kmitočtech;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36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k)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provoz stanice nemá zajištěnu ochranu proti rušení způsobenému vysílacími rádiovými stanicemi jiné radiokomunikační služby provozovanými na základě individuálního oprávnění k využívání rádiových kmitočtů nebo jinými stanicemi pro širokopásmový přenos dat na principu rozprostřeného spektra nebo OFDM. Případné rušení řeší fyzické a právnické osoby vzájemnou dohodou. Nedohodnou-li se, postupuje se podle § 100 zákona, případně zastaví provoz ten uživatel, který uvedl do provozu stanici způsobující rušení později;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37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75" w:after="75" w:line="240" w:lineRule="auto"/>
        <w:outlineLvl w:val="3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l)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stanice nesmí být elektricky ani mechanicky měněna.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38" style="width:0;height:1.5pt" o:hralign="center" o:hrstd="t" o:hr="t" fillcolor="gray" stroked="f"/>
        </w:pic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DC6F24" w:rsidRPr="00DC6F24" w:rsidRDefault="00DC6F24" w:rsidP="00DC6F24">
      <w:pPr>
        <w:shd w:val="clear" w:color="auto" w:fill="000000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</w:pPr>
      <w:r w:rsidRPr="00DC6F24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>Článek 3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Závěrečné ustanovení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>Za stanici, která splňuje požadavky dané nařízením vlády č. 426/2000 Sb., kterým se stanoví technické požadavky na rádiová a na telekomunikační koncová zařízení, ve znění pozdějších předpisů, se považuje rovněž stanice, u které Úřad rozhodl o schválení rádiového zařízení podle § 10 zákona č. 151/2000 Sb., o telekomunikacích a o změně dalších zákonů, ve znění pozdějších předpisů, pokud tato stanice byla uvedena na trh před dnem 1. dubna 2003.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39" style="width:0;height:1.5pt" o:hralign="center" o:hrstd="t" o:hr="t" fillcolor="gray" stroked="f"/>
        </w:pict>
      </w:r>
    </w:p>
    <w:p w:rsidR="00DC6F24" w:rsidRPr="00DC6F24" w:rsidRDefault="00DC6F24" w:rsidP="00DC6F24">
      <w:pPr>
        <w:shd w:val="clear" w:color="auto" w:fill="000000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</w:pPr>
      <w:r w:rsidRPr="00DC6F24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lastRenderedPageBreak/>
        <w:t>Článek 4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Zrušovací ustanovení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Zrušuje se generální licence č. GL-12/R/2000, čj. 502446/2000-613, ze dne 6. září 2000, zveřejněná v částce 9/2000 Telekomunikačního věstníku, ve znění Změny č. 1, čj. 5373/2002-12-613, ze dne 31. května 2002, zveřejněné v částce 6/2002 Telekomunikačního věstníku, Změny č. 2, čj. 21526/2002-613, ze dne 7. ledna 2003, zveřejněné v částce 1/2003 Telekomunikačního věstníku, a Změny č. 3, čj. 11168/2004-613, ze dne 30. března 2004, zveřejněné v částce 4/2004 Telekomunikačního věstníku. 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40" style="width:0;height:1.5pt" o:hralign="center" o:hrstd="t" o:hr="t" fillcolor="gray" stroked="f"/>
        </w:pict>
      </w:r>
    </w:p>
    <w:p w:rsidR="00DC6F24" w:rsidRPr="00DC6F24" w:rsidRDefault="00DC6F24" w:rsidP="00DC6F24">
      <w:pPr>
        <w:shd w:val="clear" w:color="auto" w:fill="000000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</w:pPr>
      <w:r w:rsidRPr="00DC6F24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>Článek 5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Účinnost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Toto všeobecné oprávnění nabývá účinnosti dnem 1. září 2005. 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41" style="width:0;height:1.5pt" o:hralign="center" o:hrstd="t" o:hr="t" fillcolor="gray" stroked="f"/>
        </w:pic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Odůvodnění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42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>Úřad vydává k provedení § 9 zákona všeobecné oprávnění č. VO-R/12/08.2005-34 k využívání rádiových kmitočtů a k provozování zařízení pro širokopásmový přenos dat na principu rozprostřeného spektra nebo OFDM v pásmech 2,4 GHz a 5 GHz (dále jen „všeobecné oprávnění“).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43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Všeobecné oprávnění vychází z principů zakotvených v zákoně, z kmitočtových plánů a harmonizačních záměrů Evropských společenství a nahrazuje generální licenci zrušenou článkem 4 </w:t>
      </w:r>
      <w:proofErr w:type="gram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všeobecného</w:t>
      </w:r>
      <w:proofErr w:type="gram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 oprávnění. Oproti této generální licenci zavádí všeobecné oprávnění nově možnost provozování stanic v pásmu 5470–5725 MHz. Dále se do tohoto všeobecného oprávnění převádí provozování stanic v pásmu 5150–5350 MHz, které bylo dříve umožněno generální licencí č. GL-30/R/2000, ve znění pozdějších změn.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44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>V článku 2 jsou uvedeny podmínky provozu zařízení pro širokopásmový přenos dat na principu rozprostřeného spektra nebo OFDM. Tyto podmínky vycházejí z rozhodnutí Evropské konference poštovních a telekomunikačních správ (CEPT), ze směrnice Evropského parlamentu a Rady č. 1999/5/ES, o rádiových zařízeních a telekomunikačních koncových zařízeních a vzájemném uznávání jejich shody (dále jen „směrnice“), jakož i z požadavků vyplývajících z výkonu správy rádiového spektra. Tato ustanovení ve smyslu článku 3 nebrání provozu zařízení uvedených na trh před účinností všeobecného oprávnění.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45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>Na rozdíl od generálních licencí, které byly vydávány podle dřívějších právních předpisů na dobu určitou, je všeobecné oprávnění vydáno bez omezení platnosti. V případě, že dojde ke změnám skutečností, na základě kterých bylo všeobecné oprávnění vydáno, nebo dojde k potřebě dodržet závazky vyplývající z členství České republiky v mezinárodních organizacích, nebo pro zajištění obrany a bezpečnosti státu, může být všeobecné oprávnění změněno nebo zrušeno, a to postupem podle zákona.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46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>Na základě § 130 zákona a podle Pravidel Českého telekomunikačního úřadu pro vedení konzultací s dotčenými subjekty na diskusním místě Úřad zveřejnil návrh všeobecného oprávnění č. VO-R/12/XX.2005 k využívání rádiových kmitočtů a k provozování zařízení pro širokopásmový přenos dat na principu rozprostřeného spektra nebo OFDM v pásmech 2,4 GHz a 5 GHz, a výzvu k uplatnění připomínek k návrhu opatření na diskusním místě dne 13. června 2005.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47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V rámci veřejné konzultace obdržel Úřad prostřednictvím diskusního místa řadu připomínek. Většina připomínek se týkala používání druhu nebo typu antény stanovených výrobcem, 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lastRenderedPageBreak/>
        <w:t xml:space="preserve">informativního ustanovení o harmonizovaných kmitočtech ve státech Evropské unie a požadavku definovat měřicí metody pro hodnotu vyzářeného </w:t>
      </w:r>
      <w:proofErr w:type="gram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výkonu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e.i.</w:t>
      </w:r>
      <w:proofErr w:type="gram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r.p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48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>Ustanovení o povinnosti použít v případě externí antény druh nebo typ antény stanovený výrobcem byla vypuštěno jako nadbytečné, neboť rozsah této povinnosti vyplývá ze zákona č. 22/1997 Sb., o technických požadavcích na výrobky a o změně a doplnění některých zákonů, ve znění pozdějších předpisů, a z nařízení vlády č. 426/2000 Sb., kterým se stanoví technické požadavky na rádiová a na telekomunikační koncová zařízení, v platném znění. Povinnost výrobce, jím zmocněného zástupce v členském státě Evropské unie nebo osoby odpovědné za uvedení zařízení na trh uvádět v návodu k použití dostatečné údaje o způsobu a podmínkách použití zařízení včetně informace o běžných typech a o vlastnostech antén, které mohou být na jejich zařízení použity, aby rádiové zařízení jako celek bylo ve shodě s požadavky, vyplývá pro celý trh Evropské unie ze směrnice 1999/5/ES o rádiových zařízeních a telekomunikačních koncových zařízeních6). V této souvislosti se připomínky upozorňující na potřebu odložení účinnosti z důvodu potřeby úpravy síti staly bezpředmětnými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49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>Ustanovení o harmonizovaných kmitočtových pásmech ve všech členských státech Evropské unie bylo vypuštěno, protože bylo pouze informativní.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50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Vyzářený </w:t>
      </w:r>
      <w:proofErr w:type="gram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výkon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e.i.</w:t>
      </w:r>
      <w:proofErr w:type="gram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r.p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. je veličina definovaná v kapitole 1, bod 1.161 Plánu přidělení kmitočtových pásem (národní kmitočtová tabulka) ze dne 21. října 2004, čj. 21047/04-605, a dále používaná v Plánu využití rádiového spektra a v mezinárodních rozhodnutích a doporučeních, přičemž metodiku měření určují vždy harmonizované normy. Obdobně je stanovena i spektrální </w:t>
      </w:r>
      <w:proofErr w:type="gram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 xml:space="preserve">hustota </w:t>
      </w:r>
      <w:proofErr w:type="spellStart"/>
      <w:r w:rsidRPr="00DC6F24">
        <w:rPr>
          <w:rFonts w:ascii="Arial" w:eastAsia="Times New Roman" w:hAnsi="Arial" w:cs="Arial"/>
          <w:sz w:val="21"/>
          <w:szCs w:val="21"/>
          <w:lang w:eastAsia="cs-CZ"/>
        </w:rPr>
        <w:t>e.i.</w:t>
      </w:r>
      <w:proofErr w:type="gram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r.p</w:t>
      </w:r>
      <w:proofErr w:type="spellEnd"/>
      <w:r w:rsidRPr="00DC6F24">
        <w:rPr>
          <w:rFonts w:ascii="Arial" w:eastAsia="Times New Roman" w:hAnsi="Arial" w:cs="Arial"/>
          <w:sz w:val="21"/>
          <w:szCs w:val="21"/>
          <w:lang w:eastAsia="cs-CZ"/>
        </w:rPr>
        <w:t>. Z tohoto důvodu nebyla metodika měření těchto veličin zahrnuta do všeobecného oprávnění.</w:t>
      </w:r>
    </w:p>
    <w:p w:rsidR="00DC6F24" w:rsidRPr="00DC6F24" w:rsidRDefault="00DC6F24" w:rsidP="00DC6F2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51" style="width:0;height:1.5pt" o:hralign="center" o:hrstd="t" o:hr="t" fillcolor="gray" stroked="f"/>
        </w:pict>
      </w:r>
    </w:p>
    <w:p w:rsidR="00DC6F24" w:rsidRPr="00DC6F24" w:rsidRDefault="00DC6F24" w:rsidP="00DC6F24">
      <w:pPr>
        <w:spacing w:before="15" w:after="0" w:line="240" w:lineRule="auto"/>
        <w:ind w:firstLine="450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t>V tabulce vypořádání připomínek zveřejněné na diskusním místě je uvedeno znění všech připomínek a jejich vypořádání.</w:t>
      </w:r>
    </w:p>
    <w:p w:rsidR="00DC6F24" w:rsidRPr="00DC6F24" w:rsidRDefault="00DC6F24" w:rsidP="00DC6F24">
      <w:pPr>
        <w:spacing w:after="75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DC6F24">
        <w:rPr>
          <w:rFonts w:ascii="Arial" w:eastAsia="Times New Roman" w:hAnsi="Arial" w:cs="Arial"/>
          <w:sz w:val="21"/>
          <w:szCs w:val="21"/>
          <w:lang w:eastAsia="cs-CZ"/>
        </w:rPr>
        <w:pict>
          <v:rect id="_x0000_i1052" style="width:0;height:1.5pt" o:hralign="center" o:hrstd="t" o:hr="t" fillcolor="gray" stroked="f"/>
        </w:pict>
      </w:r>
    </w:p>
    <w:p w:rsidR="00430DC0" w:rsidRDefault="00DC6F24" w:rsidP="00DC6F24">
      <w:r w:rsidRPr="00DC6F24">
        <w:rPr>
          <w:rFonts w:ascii="Arial" w:eastAsia="Times New Roman" w:hAnsi="Arial" w:cs="Arial"/>
          <w:sz w:val="21"/>
          <w:szCs w:val="21"/>
          <w:lang w:eastAsia="cs-CZ"/>
        </w:rPr>
        <w:br/>
        <w:t>Ing. David Stádník</w:t>
      </w:r>
      <w:r w:rsidRPr="00DC6F24">
        <w:rPr>
          <w:rFonts w:ascii="Arial" w:eastAsia="Times New Roman" w:hAnsi="Arial" w:cs="Arial"/>
          <w:sz w:val="21"/>
          <w:szCs w:val="21"/>
          <w:lang w:eastAsia="cs-CZ"/>
        </w:rPr>
        <w:br/>
        <w:t>předseda Rady Českého telekomunikačního úřadu</w:t>
      </w:r>
    </w:p>
    <w:sectPr w:rsidR="0043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24"/>
    <w:rsid w:val="000503EF"/>
    <w:rsid w:val="007C5761"/>
    <w:rsid w:val="00D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C6F24"/>
    <w:pPr>
      <w:spacing w:before="15" w:after="0" w:line="240" w:lineRule="auto"/>
      <w:ind w:firstLine="450"/>
      <w:outlineLvl w:val="2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C6F24"/>
    <w:pPr>
      <w:spacing w:before="75" w:after="75" w:line="240" w:lineRule="auto"/>
      <w:outlineLvl w:val="3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DC6F24"/>
    <w:pPr>
      <w:spacing w:before="75" w:after="75" w:line="240" w:lineRule="auto"/>
      <w:ind w:left="300"/>
      <w:outlineLvl w:val="4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C6F24"/>
    <w:rPr>
      <w:rFonts w:ascii="Times New Roman" w:eastAsia="Times New Roman" w:hAnsi="Times New Roman" w:cs="Times New Roman"/>
      <w:sz w:val="21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C6F24"/>
    <w:rPr>
      <w:rFonts w:ascii="Times New Roman" w:eastAsia="Times New Roman" w:hAnsi="Times New Roman" w:cs="Times New Roman"/>
      <w:sz w:val="21"/>
      <w:szCs w:val="2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C6F24"/>
    <w:rPr>
      <w:rFonts w:ascii="Times New Roman" w:eastAsia="Times New Roman" w:hAnsi="Times New Roman" w:cs="Times New Roman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6F24"/>
    <w:rPr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C6F24"/>
    <w:pPr>
      <w:spacing w:before="15" w:after="0" w:line="240" w:lineRule="auto"/>
      <w:ind w:firstLine="450"/>
      <w:outlineLvl w:val="2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C6F24"/>
    <w:pPr>
      <w:spacing w:before="75" w:after="75" w:line="240" w:lineRule="auto"/>
      <w:outlineLvl w:val="3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DC6F24"/>
    <w:pPr>
      <w:spacing w:before="75" w:after="75" w:line="240" w:lineRule="auto"/>
      <w:ind w:left="300"/>
      <w:outlineLvl w:val="4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C6F24"/>
    <w:rPr>
      <w:rFonts w:ascii="Times New Roman" w:eastAsia="Times New Roman" w:hAnsi="Times New Roman" w:cs="Times New Roman"/>
      <w:sz w:val="21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C6F24"/>
    <w:rPr>
      <w:rFonts w:ascii="Times New Roman" w:eastAsia="Times New Roman" w:hAnsi="Times New Roman" w:cs="Times New Roman"/>
      <w:sz w:val="21"/>
      <w:szCs w:val="2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C6F24"/>
    <w:rPr>
      <w:rFonts w:ascii="Times New Roman" w:eastAsia="Times New Roman" w:hAnsi="Times New Roman" w:cs="Times New Roman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6F24"/>
    <w:rPr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30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24353131">
              <w:marLeft w:val="2430"/>
              <w:marRight w:val="75"/>
              <w:marTop w:val="75"/>
              <w:marBottom w:val="75"/>
              <w:divBdr>
                <w:top w:val="single" w:sz="6" w:space="0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13333334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58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69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77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48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06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homewifi.wz.cz/wifi.php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2QZ4H56NJ3VP-63-2027</_dlc_DocId>
    <_dlc_DocIdUrl xmlns="739c032b-a5be-4b43-b007-0b056e5ef5b0">
      <Url>https://www1/seminar4/_layouts/DocIdRedir.aspx?ID=2QZ4H56NJ3VP-63-2027</Url>
      <Description>2QZ4H56NJ3VP-63-2027</Description>
    </_dlc_DocIdUrl>
  </documentManagement>
</p:properties>
</file>

<file path=customXml/itemProps1.xml><?xml version="1.0" encoding="utf-8"?>
<ds:datastoreItem xmlns:ds="http://schemas.openxmlformats.org/officeDocument/2006/customXml" ds:itemID="{AFBD3231-7CC4-4F4C-9628-39BFB1405595}"/>
</file>

<file path=customXml/itemProps2.xml><?xml version="1.0" encoding="utf-8"?>
<ds:datastoreItem xmlns:ds="http://schemas.openxmlformats.org/officeDocument/2006/customXml" ds:itemID="{9882963E-6107-4637-AE87-A8CC9E7D9F53}"/>
</file>

<file path=customXml/itemProps3.xml><?xml version="1.0" encoding="utf-8"?>
<ds:datastoreItem xmlns:ds="http://schemas.openxmlformats.org/officeDocument/2006/customXml" ds:itemID="{4CDAB206-386E-4E13-A100-202DBD8EE9DD}"/>
</file>

<file path=customXml/itemProps4.xml><?xml version="1.0" encoding="utf-8"?>
<ds:datastoreItem xmlns:ds="http://schemas.openxmlformats.org/officeDocument/2006/customXml" ds:itemID="{32CD2A38-6095-4E2D-A2EA-09C20549C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1391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michawel</dc:creator>
  <cp:lastModifiedBy>michawel</cp:lastModifiedBy>
  <cp:revision>1</cp:revision>
  <dcterms:created xsi:type="dcterms:W3CDTF">2013-03-11T17:29:00Z</dcterms:created>
  <dcterms:modified xsi:type="dcterms:W3CDTF">2013-03-11T17:34:00Z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1b7bc4e1-5ec5-4f9f-a891-bb7637087494</vt:lpwstr>
  </property>
</Properties>
</file>